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Estimados colaboradores: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Debido a la certificación de nuestro sistema de gestión de calidad bajo el estándar UNE-EN-ISO 9.001:2015, debemos comunicarles los requisitos de evaluación a los proveedores y subcontratistas que nos prestan los servicios.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De forma general, para llevar a cabo la evaluación, seguimiento del desempeño y la reevaluación continua de nuestros proveedores, se podrán tener en cuenta, entre otros, los siguientes criterios: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 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1057" w:leader="none"/>
        </w:tabs>
        <w:bidi w:val="0"/>
        <w:spacing w:before="0" w:after="0"/>
        <w:ind w:hanging="0" w:start="1057" w:end="0"/>
        <w:jc w:val="start"/>
        <w:rPr/>
      </w:pPr>
      <w:r>
        <w:rPr/>
        <w:t>Proveedores de servicios:</w:t>
      </w:r>
    </w:p>
    <w:p>
      <w:pPr>
        <w:pStyle w:val="BodyText"/>
        <w:bidi w:val="0"/>
        <w:spacing w:before="0" w:after="0"/>
        <w:ind w:hanging="0" w:start="1068" w:end="0"/>
        <w:jc w:val="start"/>
        <w:rPr/>
      </w:pPr>
      <w:r>
        <w:rPr/>
        <w:t>Evaluación del servicio prestado;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766" w:leader="none"/>
        </w:tabs>
        <w:bidi w:val="0"/>
        <w:spacing w:before="0" w:after="0"/>
        <w:ind w:hanging="0" w:start="1766" w:end="0"/>
        <w:jc w:val="start"/>
        <w:rPr/>
      </w:pPr>
      <w:r>
        <w:rPr/>
        <w:t>Calidad del servicio prestado, Solvencia y Capacidad técnica ofrecida en todos los ámbitos: competencia del personal que el proveedor destinado a los servicios, capacidad de los métodos, procesos, medios, instalaciones y equipos empleados en la prestación de servicios y la calidad y cualidades de los materiales y recursos empleados.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766" w:leader="none"/>
        </w:tabs>
        <w:bidi w:val="0"/>
        <w:spacing w:before="0" w:after="0"/>
        <w:ind w:hanging="0" w:start="1766" w:end="0"/>
        <w:jc w:val="start"/>
        <w:rPr/>
      </w:pPr>
      <w:r>
        <w:rPr/>
        <w:t>Cumplimiento de todos los requisitos que se establezcan a nivel contractual o en ofertas de prestación de servicios.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1057" w:leader="none"/>
        </w:tabs>
        <w:bidi w:val="0"/>
        <w:spacing w:before="0" w:after="0"/>
        <w:ind w:hanging="0" w:start="1057" w:end="0"/>
        <w:jc w:val="start"/>
        <w:rPr/>
      </w:pPr>
      <w:r>
        <w:rPr/>
        <w:t>Proveedores de productos, materias primas y mercancías;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766" w:leader="none"/>
        </w:tabs>
        <w:bidi w:val="0"/>
        <w:spacing w:before="0" w:after="0"/>
        <w:ind w:hanging="0" w:start="1766" w:end="0"/>
        <w:jc w:val="start"/>
        <w:rPr/>
      </w:pPr>
      <w:r>
        <w:rPr/>
        <w:t>Marcado CE y fichas técnicas de productos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766" w:leader="none"/>
        </w:tabs>
        <w:bidi w:val="0"/>
        <w:spacing w:before="0" w:after="0"/>
        <w:ind w:hanging="0" w:start="1766" w:end="0"/>
        <w:jc w:val="start"/>
        <w:rPr/>
      </w:pPr>
      <w:r>
        <w:rPr/>
        <w:t>Diferencia Cantidades y estado o tipo embalaje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766" w:leader="none"/>
        </w:tabs>
        <w:bidi w:val="0"/>
        <w:spacing w:before="0" w:after="0"/>
        <w:ind w:hanging="0" w:start="1766" w:end="0"/>
        <w:jc w:val="start"/>
        <w:rPr/>
      </w:pPr>
      <w:r>
        <w:rPr/>
        <w:t>Retrasos en las entregas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766" w:leader="none"/>
        </w:tabs>
        <w:bidi w:val="0"/>
        <w:spacing w:before="0" w:after="0"/>
        <w:ind w:hanging="0" w:start="1766" w:end="0"/>
        <w:jc w:val="start"/>
        <w:rPr/>
      </w:pPr>
      <w:r>
        <w:rPr/>
        <w:t>Calidad del producto recibido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Entre otros criterios, informamos a nuestros proveedores que SUREXTIN S.L. podrá emplear y valorar como criterios de evaluación: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 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766" w:leader="none"/>
        </w:tabs>
        <w:bidi w:val="0"/>
        <w:spacing w:before="0" w:after="0"/>
        <w:ind w:hanging="0" w:start="1766" w:end="0"/>
        <w:jc w:val="start"/>
        <w:rPr/>
      </w:pPr>
      <w:r>
        <w:rPr/>
        <w:t>Propuesta de nuevos e innovadores productos y servicios que puedan contribuir a la Mejora continua en todos los ámbitos: Calidad, Medio Ambiente, Seguridad y Salud, Seguridad de la Información, Impresión de Documentos de Seguridad.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766" w:leader="none"/>
        </w:tabs>
        <w:bidi w:val="0"/>
        <w:spacing w:before="0" w:after="0"/>
        <w:ind w:hanging="0" w:start="1766" w:end="0"/>
        <w:jc w:val="start"/>
        <w:rPr/>
      </w:pPr>
      <w:r>
        <w:rPr/>
        <w:t>La calidad, cantidad acordada, buen estado de los productos suministrados y características adicionales ofrecidas que los distinga de otros productos y servicios de su misma categoría o clase.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766" w:leader="none"/>
        </w:tabs>
        <w:bidi w:val="0"/>
        <w:spacing w:before="0" w:after="0"/>
        <w:ind w:hanging="0" w:start="1766" w:end="0"/>
        <w:jc w:val="start"/>
        <w:rPr/>
      </w:pPr>
      <w:r>
        <w:rPr/>
        <w:t>Ante no conformidades, reclamaciones, situaciones no conformes con los requisitos de SUREXTIN S.L. o la comunicación de nuevos requisitos.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766" w:leader="none"/>
        </w:tabs>
        <w:bidi w:val="0"/>
        <w:spacing w:before="0" w:after="0"/>
        <w:ind w:hanging="0" w:start="1766" w:end="0"/>
        <w:jc w:val="start"/>
        <w:rPr/>
      </w:pPr>
      <w:r>
        <w:rPr/>
        <w:t>El cumplimiento de los plazos de entrega de productos o de servicio acordados.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Toda la información enviada es confidencial, no permitiéndose su copia y/o distribución a terceros, siendo única y exclusivamente para su aplicación cuando se realicen trabajos en nuestro nombre.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Aprovechamos la ocasión, para instarles a conocer nuestra Política de Calidad, disponible en esta web.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 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Reciban un cordial saludo,</w:t>
      </w:r>
    </w:p>
    <w:p>
      <w:pPr>
        <w:pStyle w:val="BodyText"/>
        <w:bidi w:val="0"/>
        <w:spacing w:before="0" w:after="0"/>
        <w:ind w:hanging="0" w:start="720" w:end="0"/>
        <w:jc w:val="start"/>
        <w:rPr/>
      </w:pPr>
      <w:r>
        <w:rPr/>
        <w:t>José Antonio Montero Ledesma</w:t>
      </w:r>
    </w:p>
    <w:p>
      <w:pPr>
        <w:pStyle w:val="BodyText"/>
        <w:bidi w:val="0"/>
        <w:spacing w:before="0" w:after="0"/>
        <w:ind w:hanging="0" w:start="720" w:end="0"/>
        <w:jc w:val="start"/>
        <w:rPr>
          <w:rStyle w:val="Strong"/>
        </w:rPr>
      </w:pPr>
      <w:r>
        <w:rPr/>
        <w:t>Responsable del sistema de gestión</w:t>
      </w:r>
    </w:p>
    <w:sectPr>
      <w:type w:val="nextPage"/>
      <w:pgSz w:w="11906" w:h="16838"/>
      <w:pgMar w:left="653" w:right="766" w:gutter="0" w:header="0" w:top="707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start"/>
      <w:pPr>
        <w:tabs>
          <w:tab w:val="num" w:pos="709"/>
        </w:tabs>
        <w:ind w:start="709" w:hanging="0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decimal"/>
      <w:suff w:val="nothing"/>
      <w:lvlText w:val="%1."/>
      <w:lvlJc w:val="start"/>
      <w:pPr>
        <w:tabs>
          <w:tab w:val="num" w:pos="709"/>
        </w:tabs>
        <w:ind w:start="709" w:hanging="0"/>
      </w:pPr>
      <w:rPr/>
    </w:lvl>
    <w:lvl w:ilvl="1">
      <w:start w:val="1"/>
      <w:numFmt w:val="bullet"/>
      <w:suff w:val="nothing"/>
      <w:lvlText w:val=""/>
      <w:lvlJc w:val="start"/>
      <w:pPr>
        <w:tabs>
          <w:tab w:val="num" w:pos="1418"/>
        </w:tabs>
        <w:ind w:start="1418" w:hanging="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2"/>
      <w:numFmt w:val="decimal"/>
      <w:suff w:val="nothing"/>
      <w:lvlText w:val="%1."/>
      <w:lvlJc w:val="start"/>
      <w:pPr>
        <w:tabs>
          <w:tab w:val="num" w:pos="709"/>
        </w:tabs>
        <w:ind w:start="709" w:hanging="0"/>
      </w:pPr>
      <w:rPr/>
    </w:lvl>
    <w:lvl w:ilvl="1">
      <w:start w:val="1"/>
      <w:numFmt w:val="bullet"/>
      <w:suff w:val="nothing"/>
      <w:lvlText w:val=""/>
      <w:lvlJc w:val="start"/>
      <w:pPr>
        <w:tabs>
          <w:tab w:val="num" w:pos="1418"/>
        </w:tabs>
        <w:ind w:start="1418" w:hanging="0"/>
      </w:pPr>
      <w:rPr>
        <w:rFonts w:ascii="Wingdings" w:hAnsi="Wingdings" w:cs="Wingdings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8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character" w:styleId="Strong">
    <w:name w:val="Strong"/>
    <w:qFormat/>
    <w:rPr>
      <w:b/>
      <w:bCs/>
    </w:rPr>
  </w:style>
  <w:style w:type="character" w:styleId="Smbolosdenumeracin">
    <w:name w:val="Símbolos de numeración"/>
    <w:qFormat/>
    <w:rPr/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</TotalTime>
  <Application>LibreOffice/24.2.2.2$Windows_X86_64 LibreOffice_project/d56cc158d8a96260b836f100ef4b4ef25d6f1a01</Application>
  <AppVersion>15.0000</AppVersion>
  <Pages>1</Pages>
  <Words>346</Words>
  <Characters>1999</Characters>
  <CharactersWithSpaces>2319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2026-09-08T18:17:34Z</dcterms:created>
  <dc:creator/>
  <dc:description/>
  <dc:language>es-ES</dc:language>
  <cp:lastModifiedBy/>
  <dcterms:modified xsi:type="dcterms:W3CDTF">2026-09-08T19:02:54Z</dcterms:modified>
  <cp:revision>1</cp:revision>
  <dc:subject/>
  <dc:title/>
</cp:coreProperties>
</file>